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225B5">
      <w:pPr>
        <w:spacing w:line="540" w:lineRule="exact"/>
        <w:jc w:val="center"/>
        <w:rPr>
          <w:rFonts w:ascii="仿宋" w:hAnsi="仿宋" w:eastAsia="仿宋" w:cs="仿宋"/>
          <w:b/>
          <w:sz w:val="32"/>
          <w:szCs w:val="32"/>
        </w:rPr>
      </w:pPr>
      <w:r>
        <w:rPr>
          <w:rFonts w:hint="eastAsia" w:ascii="仿宋" w:hAnsi="仿宋" w:eastAsia="仿宋" w:cs="仿宋"/>
          <w:b/>
          <w:sz w:val="32"/>
          <w:szCs w:val="32"/>
        </w:rPr>
        <w:t>辽宁大学</w:t>
      </w:r>
      <w:r>
        <w:rPr>
          <w:rFonts w:hint="eastAsia" w:ascii="仿宋" w:hAnsi="仿宋" w:eastAsia="仿宋" w:cs="仿宋"/>
          <w:b/>
          <w:sz w:val="32"/>
          <w:szCs w:val="32"/>
          <w:lang w:val="en-US" w:eastAsia="zh-CN"/>
        </w:rPr>
        <w:t>文</w:t>
      </w:r>
      <w:r>
        <w:rPr>
          <w:rFonts w:hint="eastAsia" w:ascii="仿宋" w:hAnsi="仿宋" w:eastAsia="仿宋" w:cs="仿宋"/>
          <w:b/>
          <w:sz w:val="32"/>
          <w:szCs w:val="32"/>
        </w:rPr>
        <w:t>学院</w:t>
      </w:r>
    </w:p>
    <w:p w14:paraId="4DAB34ED">
      <w:pPr>
        <w:spacing w:line="540" w:lineRule="exact"/>
        <w:jc w:val="center"/>
        <w:rPr>
          <w:rFonts w:ascii="仿宋" w:hAnsi="仿宋" w:eastAsia="仿宋" w:cs="仿宋"/>
          <w:b/>
          <w:sz w:val="32"/>
          <w:szCs w:val="32"/>
        </w:rPr>
      </w:pPr>
      <w:r>
        <w:rPr>
          <w:rFonts w:ascii="仿宋" w:hAnsi="仿宋" w:eastAsia="仿宋" w:cs="仿宋"/>
          <w:b/>
          <w:sz w:val="32"/>
          <w:szCs w:val="32"/>
        </w:rPr>
        <w:t>202</w:t>
      </w:r>
      <w:r>
        <w:rPr>
          <w:rFonts w:hint="eastAsia" w:ascii="仿宋" w:hAnsi="仿宋" w:eastAsia="仿宋" w:cs="仿宋"/>
          <w:b/>
          <w:sz w:val="32"/>
          <w:szCs w:val="32"/>
          <w:lang w:val="en-US" w:eastAsia="zh-CN"/>
        </w:rPr>
        <w:t>5</w:t>
      </w:r>
      <w:r>
        <w:rPr>
          <w:rFonts w:hint="eastAsia" w:ascii="仿宋" w:hAnsi="仿宋" w:eastAsia="仿宋" w:cs="仿宋"/>
          <w:b/>
          <w:sz w:val="32"/>
          <w:szCs w:val="32"/>
        </w:rPr>
        <w:t>年硕士研究生招生调剂工作实施细则</w:t>
      </w:r>
    </w:p>
    <w:p w14:paraId="5A5D9D56">
      <w:pPr>
        <w:spacing w:line="540" w:lineRule="exact"/>
        <w:rPr>
          <w:rFonts w:ascii="仿宋" w:hAnsi="仿宋" w:eastAsia="仿宋" w:cs="仿宋"/>
          <w:sz w:val="28"/>
        </w:rPr>
      </w:pPr>
    </w:p>
    <w:p w14:paraId="101F27A0">
      <w:pPr>
        <w:spacing w:line="540" w:lineRule="exact"/>
        <w:rPr>
          <w:rFonts w:ascii="仿宋" w:hAnsi="仿宋" w:eastAsia="仿宋" w:cs="仿宋"/>
          <w:sz w:val="28"/>
        </w:rPr>
      </w:pPr>
      <w:r>
        <w:rPr>
          <w:rFonts w:ascii="仿宋" w:hAnsi="仿宋" w:eastAsia="仿宋" w:cs="仿宋"/>
          <w:sz w:val="28"/>
        </w:rPr>
        <w:tab/>
      </w:r>
      <w:r>
        <w:rPr>
          <w:rFonts w:hint="eastAsia" w:ascii="仿宋" w:hAnsi="仿宋" w:eastAsia="仿宋" w:cs="仿宋"/>
          <w:sz w:val="28"/>
        </w:rPr>
        <w:t>为切实做好硕士研究生调剂工作，</w:t>
      </w:r>
      <w:r>
        <w:rPr>
          <w:rFonts w:hint="eastAsia" w:ascii="仿宋" w:hAnsi="仿宋" w:eastAsia="仿宋" w:cs="仿宋"/>
          <w:sz w:val="28"/>
          <w:lang w:val="en-US" w:eastAsia="zh-CN"/>
        </w:rPr>
        <w:t>文</w:t>
      </w:r>
      <w:r>
        <w:rPr>
          <w:rFonts w:hint="eastAsia" w:ascii="仿宋" w:hAnsi="仿宋" w:eastAsia="仿宋" w:cs="仿宋"/>
          <w:sz w:val="28"/>
        </w:rPr>
        <w:t>学院研究生招生工作领导小组在学校研究生招生工作领导小组指导下，参照《辽宁大学</w:t>
      </w:r>
      <w:r>
        <w:rPr>
          <w:rFonts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年硕士研究生招生调剂工作办法》，制定本细则并组织实施。</w:t>
      </w:r>
    </w:p>
    <w:p w14:paraId="1D332C2B">
      <w:pPr>
        <w:spacing w:line="540" w:lineRule="exact"/>
        <w:ind w:firstLine="562"/>
        <w:rPr>
          <w:rFonts w:ascii="黑体" w:hAnsi="黑体" w:eastAsia="黑体" w:cs="仿宋"/>
          <w:sz w:val="28"/>
        </w:rPr>
      </w:pPr>
      <w:r>
        <w:rPr>
          <w:rFonts w:hint="eastAsia" w:ascii="黑体" w:hAnsi="黑体" w:eastAsia="黑体" w:cs="仿宋"/>
          <w:sz w:val="28"/>
        </w:rPr>
        <w:t>一、接收调剂考生的基本条件</w:t>
      </w:r>
    </w:p>
    <w:p w14:paraId="19B75B72">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1.符合调入专业的报考条件。</w:t>
      </w:r>
    </w:p>
    <w:p w14:paraId="4211EC40">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2.初试成绩符合第一志愿报考专业在调入地区（一区）的国家分数线基本要求。</w:t>
      </w:r>
    </w:p>
    <w:p w14:paraId="0561126B">
      <w:pPr>
        <w:spacing w:line="54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3.调入专业与第一志愿报考专业相同或相近，一般应在同一学科门类范围内。其中，学术学位专业仅接收第一志愿报考相同或相近学术学位专业考生的调剂申请</w:t>
      </w:r>
      <w:r>
        <w:rPr>
          <w:rFonts w:hint="eastAsia" w:ascii="仿宋" w:hAnsi="仿宋" w:eastAsia="仿宋"/>
          <w:sz w:val="28"/>
          <w:szCs w:val="28"/>
          <w:lang w:eastAsia="zh-CN"/>
        </w:rPr>
        <w:t>：</w:t>
      </w:r>
    </w:p>
    <w:p w14:paraId="5E1BFA11">
      <w:pPr>
        <w:spacing w:line="5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中国少数民族语言文学（代码[050107]）仅接收一志愿报考中国古代文学专业（代码[050105]）考生的调剂申请。</w:t>
      </w:r>
    </w:p>
    <w:p w14:paraId="10722370">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4.初试科目与调入专业初试科目相同或相近，其中初试全国统一命题科目应与调入专业全国统一命题科目相同。全国统一命题外国语科目中的英语（一）、英语（二）及业务课一科目中的数学（一）、数学（二）、数学（三）仅可进行单向调剂。对于外国语科目，不接收招生专业目录中未列出语种考生的调剂。</w:t>
      </w:r>
    </w:p>
    <w:p w14:paraId="20E316AD">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5.第一志愿报考专业初试科目数量应与调入专业初试科目数量一致。</w:t>
      </w:r>
    </w:p>
    <w:p w14:paraId="0428F052">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6.学习方式为非全日制的调入专业只招收定向就业的在职考生，可以接收相同或相近专业学位类别（领域）全日制学习方式考生（不含应届毕业生）调剂申请，但（拟）录取类别必须为定向就业。</w:t>
      </w:r>
    </w:p>
    <w:p w14:paraId="78CB1A3F">
      <w:pPr>
        <w:spacing w:line="54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.报考法律（非法学）专业学位硕士的考生不得调入其他专业，其他专业的考生也不得调入该专业。</w:t>
      </w:r>
    </w:p>
    <w:p w14:paraId="232A5D3B">
      <w:pPr>
        <w:spacing w:line="54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.报考“退役大学生士兵”专项计划的考生，申请调剂到普通计划，其初试成绩须达到调入地区（一区）相关专业所在学科门类的国家分数线要求。</w:t>
      </w:r>
    </w:p>
    <w:p w14:paraId="4A1DD760">
      <w:pPr>
        <w:spacing w:line="54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考生还须符合调入专业对其一志愿报考专业等学术条件的具体要求。其中，对于接收跨学科门类范围申请调剂的专业，考生初试成绩需同时符合调出专业和调入专业在调入地区（一区）国家分数线的要求，方可申请调剂。</w:t>
      </w:r>
    </w:p>
    <w:p w14:paraId="46B75530">
      <w:pPr>
        <w:spacing w:line="540" w:lineRule="exact"/>
        <w:ind w:firstLine="560" w:firstLineChars="200"/>
        <w:rPr>
          <w:rFonts w:ascii="黑体" w:hAnsi="黑体" w:eastAsia="黑体" w:cs="仿宋"/>
          <w:sz w:val="28"/>
        </w:rPr>
      </w:pPr>
      <w:r>
        <w:rPr>
          <w:rFonts w:hint="eastAsia" w:ascii="黑体" w:hAnsi="黑体" w:eastAsia="黑体" w:cs="仿宋"/>
          <w:sz w:val="28"/>
        </w:rPr>
        <w:t>二、遴选原则</w:t>
      </w:r>
    </w:p>
    <w:p w14:paraId="2216F2FE">
      <w:pPr>
        <w:spacing w:line="540" w:lineRule="exact"/>
        <w:ind w:firstLine="560" w:firstLineChars="200"/>
        <w:rPr>
          <w:rFonts w:ascii="仿宋" w:hAnsi="仿宋" w:eastAsia="仿宋"/>
          <w:sz w:val="28"/>
          <w:szCs w:val="28"/>
        </w:rPr>
      </w:pPr>
      <w:r>
        <w:rPr>
          <w:rFonts w:hint="eastAsia" w:ascii="仿宋" w:hAnsi="仿宋" w:eastAsia="仿宋"/>
          <w:sz w:val="28"/>
          <w:szCs w:val="28"/>
        </w:rPr>
        <w:t>坚持“按需招生、全面衡量、择优录取”的原则，严格按照《</w:t>
      </w:r>
      <w:r>
        <w:rPr>
          <w:rFonts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年全国硕士研究生招生工作管理规定》确定的考生调剂基本条件和要求，开展调剂生源遴选工作。</w:t>
      </w:r>
      <w:r>
        <w:rPr>
          <w:rFonts w:hint="eastAsia" w:ascii="仿宋" w:hAnsi="仿宋" w:eastAsia="仿宋" w:cs="仿宋"/>
          <w:sz w:val="28"/>
          <w:szCs w:val="28"/>
        </w:rPr>
        <w:t>对申请同一招生单位同一专业、初试科目完全相同的调剂考生，按考生初试成绩择优遴选进入复试的考生。</w:t>
      </w:r>
    </w:p>
    <w:p w14:paraId="15861018">
      <w:pPr>
        <w:spacing w:line="540" w:lineRule="exact"/>
        <w:ind w:firstLine="562"/>
        <w:rPr>
          <w:rFonts w:ascii="黑体" w:hAnsi="黑体" w:eastAsia="黑体" w:cs="仿宋"/>
          <w:sz w:val="28"/>
        </w:rPr>
      </w:pPr>
      <w:r>
        <w:rPr>
          <w:rFonts w:hint="eastAsia" w:ascii="黑体" w:hAnsi="黑体" w:eastAsia="黑体" w:cs="仿宋"/>
          <w:sz w:val="28"/>
        </w:rPr>
        <w:t>三、接收调剂专业及时间</w:t>
      </w:r>
    </w:p>
    <w:p w14:paraId="2DC72129">
      <w:pPr>
        <w:spacing w:line="540" w:lineRule="exact"/>
        <w:ind w:firstLine="560" w:firstLineChars="200"/>
        <w:rPr>
          <w:rFonts w:ascii="仿宋" w:hAnsi="仿宋" w:eastAsia="仿宋" w:cs="仿宋"/>
          <w:sz w:val="28"/>
        </w:rPr>
      </w:pPr>
      <w:r>
        <w:rPr>
          <w:rFonts w:hint="eastAsia" w:ascii="仿宋" w:hAnsi="仿宋" w:eastAsia="仿宋" w:cs="仿宋"/>
          <w:sz w:val="28"/>
        </w:rPr>
        <w:t>接收调剂专业：</w:t>
      </w:r>
      <w:r>
        <w:rPr>
          <w:rFonts w:hint="eastAsia" w:ascii="仿宋" w:hAnsi="仿宋" w:eastAsia="仿宋" w:cs="仿宋"/>
          <w:sz w:val="28"/>
          <w:lang w:val="en-US" w:eastAsia="zh-CN"/>
        </w:rPr>
        <w:t>中国少数民族语言文学</w:t>
      </w:r>
      <w:r>
        <w:rPr>
          <w:rFonts w:ascii="仿宋" w:hAnsi="仿宋" w:eastAsia="仿宋" w:cs="仿宋"/>
          <w:sz w:val="28"/>
        </w:rPr>
        <w:t>[</w:t>
      </w:r>
      <w:r>
        <w:rPr>
          <w:rFonts w:hint="eastAsia" w:ascii="仿宋" w:hAnsi="仿宋" w:eastAsia="仿宋" w:cs="仿宋"/>
          <w:sz w:val="28"/>
          <w:lang w:val="en-US" w:eastAsia="zh-CN"/>
        </w:rPr>
        <w:t>050107</w:t>
      </w:r>
      <w:r>
        <w:rPr>
          <w:rFonts w:ascii="仿宋" w:hAnsi="仿宋" w:eastAsia="仿宋" w:cs="仿宋"/>
          <w:sz w:val="28"/>
        </w:rPr>
        <w:t>]</w:t>
      </w:r>
    </w:p>
    <w:p w14:paraId="05CCB296">
      <w:pPr>
        <w:spacing w:line="540" w:lineRule="exact"/>
        <w:ind w:firstLine="560" w:firstLineChars="200"/>
        <w:rPr>
          <w:rFonts w:ascii="仿宋" w:hAnsi="仿宋" w:eastAsia="仿宋" w:cs="仿宋"/>
          <w:sz w:val="28"/>
        </w:rPr>
      </w:pPr>
      <w:r>
        <w:rPr>
          <w:rFonts w:hint="eastAsia" w:ascii="仿宋" w:hAnsi="仿宋" w:eastAsia="仿宋" w:cs="仿宋"/>
          <w:sz w:val="28"/>
        </w:rPr>
        <w:t>我单位定于</w:t>
      </w:r>
      <w:r>
        <w:rPr>
          <w:rFonts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w:t>
      </w:r>
      <w:r>
        <w:rPr>
          <w:rFonts w:hint="eastAsia" w:ascii="仿宋" w:hAnsi="仿宋" w:eastAsia="仿宋" w:cs="仿宋"/>
          <w:sz w:val="28"/>
          <w:lang w:val="en-US" w:eastAsia="zh-CN"/>
        </w:rPr>
        <w:t>4</w:t>
      </w:r>
      <w:r>
        <w:rPr>
          <w:rFonts w:hint="eastAsia" w:ascii="仿宋" w:hAnsi="仿宋" w:eastAsia="仿宋" w:cs="仿宋"/>
          <w:sz w:val="28"/>
        </w:rPr>
        <w:t>月</w:t>
      </w:r>
      <w:r>
        <w:rPr>
          <w:rFonts w:hint="eastAsia" w:ascii="仿宋" w:hAnsi="仿宋" w:eastAsia="仿宋" w:cs="仿宋"/>
          <w:sz w:val="28"/>
          <w:lang w:val="en-US" w:eastAsia="zh-CN"/>
        </w:rPr>
        <w:t>8</w:t>
      </w:r>
      <w:r>
        <w:rPr>
          <w:rFonts w:hint="eastAsia" w:ascii="仿宋" w:hAnsi="仿宋" w:eastAsia="仿宋" w:cs="仿宋"/>
          <w:sz w:val="28"/>
        </w:rPr>
        <w:t>日</w:t>
      </w:r>
      <w:r>
        <w:rPr>
          <w:rFonts w:hint="eastAsia" w:ascii="仿宋" w:hAnsi="仿宋" w:eastAsia="仿宋" w:cs="仿宋"/>
          <w:sz w:val="28"/>
          <w:lang w:val="en-US" w:eastAsia="zh-CN"/>
        </w:rPr>
        <w:t>0</w:t>
      </w:r>
      <w:r>
        <w:rPr>
          <w:rFonts w:ascii="仿宋" w:hAnsi="仿宋" w:eastAsia="仿宋" w:cs="仿宋"/>
          <w:sz w:val="28"/>
        </w:rPr>
        <w:t>:00</w:t>
      </w:r>
      <w:r>
        <w:rPr>
          <w:rFonts w:hint="eastAsia" w:ascii="仿宋" w:hAnsi="仿宋" w:eastAsia="仿宋" w:cs="仿宋"/>
          <w:sz w:val="28"/>
        </w:rPr>
        <w:t>至</w:t>
      </w:r>
      <w:r>
        <w:rPr>
          <w:rFonts w:hint="eastAsia" w:ascii="仿宋" w:hAnsi="仿宋" w:eastAsia="仿宋" w:cs="仿宋"/>
          <w:sz w:val="28"/>
          <w:lang w:val="en-US" w:eastAsia="zh-CN"/>
        </w:rPr>
        <w:t>12</w:t>
      </w:r>
      <w:r>
        <w:rPr>
          <w:rFonts w:ascii="仿宋" w:hAnsi="仿宋" w:eastAsia="仿宋" w:cs="仿宋"/>
          <w:sz w:val="28"/>
        </w:rPr>
        <w:t>:00</w:t>
      </w:r>
      <w:r>
        <w:rPr>
          <w:rFonts w:hint="eastAsia" w:ascii="仿宋" w:hAnsi="仿宋" w:eastAsia="仿宋" w:cs="仿宋"/>
          <w:sz w:val="28"/>
        </w:rPr>
        <w:t>之间在“</w:t>
      </w:r>
      <w:r>
        <w:rPr>
          <w:rFonts w:hint="eastAsia" w:ascii="仿宋" w:hAnsi="仿宋" w:eastAsia="仿宋" w:cs="仿宋"/>
          <w:sz w:val="28"/>
          <w:szCs w:val="28"/>
        </w:rPr>
        <w:t>全国硕士生招生复试调剂服务系统</w:t>
      </w:r>
      <w:r>
        <w:rPr>
          <w:rFonts w:hint="eastAsia" w:ascii="仿宋" w:hAnsi="仿宋" w:eastAsia="仿宋" w:cs="仿宋"/>
          <w:sz w:val="28"/>
        </w:rPr>
        <w:t>”上首次发布调剂信息。</w:t>
      </w:r>
      <w:r>
        <w:rPr>
          <w:rFonts w:ascii="仿宋" w:hAnsi="仿宋" w:eastAsia="仿宋" w:cs="仿宋"/>
          <w:sz w:val="28"/>
        </w:rPr>
        <w:t xml:space="preserve"> </w:t>
      </w:r>
    </w:p>
    <w:p w14:paraId="3D606F2A">
      <w:pPr>
        <w:spacing w:line="540" w:lineRule="exact"/>
        <w:ind w:firstLine="562"/>
        <w:rPr>
          <w:rFonts w:ascii="黑体" w:hAnsi="黑体" w:eastAsia="黑体" w:cs="仿宋"/>
          <w:sz w:val="28"/>
        </w:rPr>
      </w:pPr>
      <w:r>
        <w:rPr>
          <w:rFonts w:hint="eastAsia" w:ascii="黑体" w:hAnsi="黑体" w:eastAsia="黑体" w:cs="仿宋"/>
          <w:sz w:val="28"/>
        </w:rPr>
        <w:t>四、调剂工作程序及要求</w:t>
      </w:r>
    </w:p>
    <w:p w14:paraId="605C7C0F">
      <w:pPr>
        <w:spacing w:line="540" w:lineRule="exact"/>
        <w:ind w:firstLine="562"/>
        <w:rPr>
          <w:rFonts w:ascii="仿宋" w:hAnsi="仿宋" w:eastAsia="仿宋"/>
          <w:sz w:val="28"/>
          <w:szCs w:val="28"/>
        </w:rPr>
      </w:pPr>
      <w:r>
        <w:rPr>
          <w:rFonts w:ascii="仿宋" w:hAnsi="仿宋" w:eastAsia="仿宋" w:cs="仿宋"/>
          <w:sz w:val="28"/>
        </w:rPr>
        <w:t>1.</w:t>
      </w:r>
      <w:r>
        <w:rPr>
          <w:rFonts w:hint="eastAsia" w:ascii="仿宋" w:hAnsi="仿宋" w:eastAsia="仿宋" w:cs="仿宋"/>
          <w:sz w:val="28"/>
        </w:rPr>
        <w:t>本单位</w:t>
      </w:r>
      <w:r>
        <w:rPr>
          <w:rFonts w:hint="eastAsia" w:ascii="仿宋" w:hAnsi="仿宋" w:eastAsia="仿宋"/>
          <w:sz w:val="28"/>
          <w:szCs w:val="28"/>
        </w:rPr>
        <w:t>接收所有调剂考生均通过</w:t>
      </w:r>
      <w:r>
        <w:rPr>
          <w:rFonts w:hint="eastAsia" w:ascii="仿宋" w:hAnsi="仿宋" w:eastAsia="仿宋" w:cs="仿宋"/>
          <w:sz w:val="28"/>
        </w:rPr>
        <w:t>“</w:t>
      </w:r>
      <w:r>
        <w:rPr>
          <w:rFonts w:hint="eastAsia" w:ascii="仿宋" w:hAnsi="仿宋" w:eastAsia="仿宋" w:cs="仿宋"/>
          <w:sz w:val="28"/>
          <w:szCs w:val="28"/>
        </w:rPr>
        <w:t>全国硕士生招生复试调剂服务系统</w:t>
      </w:r>
      <w:r>
        <w:rPr>
          <w:rFonts w:hint="eastAsia" w:ascii="仿宋" w:hAnsi="仿宋" w:eastAsia="仿宋" w:cs="仿宋"/>
          <w:sz w:val="28"/>
        </w:rPr>
        <w:t>”</w:t>
      </w:r>
      <w:r>
        <w:rPr>
          <w:rFonts w:hint="eastAsia" w:ascii="仿宋" w:hAnsi="仿宋" w:eastAsia="仿宋"/>
          <w:sz w:val="28"/>
          <w:szCs w:val="28"/>
        </w:rPr>
        <w:t>进行。接到复试通知的考生须在指定时间内回复确认，并按时参加复试。</w:t>
      </w:r>
    </w:p>
    <w:p w14:paraId="094F0757">
      <w:pPr>
        <w:spacing w:line="540" w:lineRule="exact"/>
        <w:ind w:firstLine="562"/>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调剂考生</w:t>
      </w:r>
      <w:r>
        <w:rPr>
          <w:rFonts w:hint="eastAsia" w:ascii="仿宋" w:hAnsi="仿宋" w:eastAsia="仿宋"/>
          <w:sz w:val="28"/>
          <w:szCs w:val="28"/>
          <w:lang w:val="en-US" w:eastAsia="zh-CN"/>
        </w:rPr>
        <w:t>应</w:t>
      </w:r>
      <w:r>
        <w:rPr>
          <w:rFonts w:hint="eastAsia" w:ascii="仿宋" w:hAnsi="仿宋" w:eastAsia="仿宋"/>
          <w:sz w:val="28"/>
          <w:szCs w:val="28"/>
        </w:rPr>
        <w:t>在复试考核开始前完成资格审查的材料提交与</w:t>
      </w:r>
      <w:r>
        <w:rPr>
          <w:rFonts w:hint="eastAsia" w:ascii="仿宋" w:hAnsi="仿宋" w:eastAsia="仿宋"/>
          <w:sz w:val="28"/>
          <w:szCs w:val="28"/>
          <w:lang w:val="en-US" w:eastAsia="zh-CN"/>
        </w:rPr>
        <w:t>心理测试</w:t>
      </w:r>
      <w:r>
        <w:rPr>
          <w:rFonts w:hint="eastAsia" w:ascii="仿宋" w:hAnsi="仿宋" w:eastAsia="仿宋"/>
          <w:sz w:val="28"/>
          <w:szCs w:val="28"/>
        </w:rPr>
        <w:t>。调剂考生复试内容要求与一志愿考生复试内容要求一致。详情见《辽宁大学202</w:t>
      </w:r>
      <w:r>
        <w:rPr>
          <w:rFonts w:hint="eastAsia" w:ascii="仿宋" w:hAnsi="仿宋" w:eastAsia="仿宋"/>
          <w:sz w:val="28"/>
          <w:szCs w:val="28"/>
          <w:lang w:val="en-US" w:eastAsia="zh-CN"/>
        </w:rPr>
        <w:t>5</w:t>
      </w:r>
      <w:r>
        <w:rPr>
          <w:rFonts w:hint="eastAsia" w:ascii="仿宋" w:hAnsi="仿宋" w:eastAsia="仿宋"/>
          <w:sz w:val="28"/>
          <w:szCs w:val="28"/>
        </w:rPr>
        <w:t>年硕士研究生复试录取工作办法》和《辽宁大学</w:t>
      </w:r>
      <w:r>
        <w:rPr>
          <w:rFonts w:hint="eastAsia" w:ascii="仿宋" w:hAnsi="仿宋" w:eastAsia="仿宋"/>
          <w:sz w:val="28"/>
          <w:szCs w:val="28"/>
          <w:lang w:val="en-US" w:eastAsia="zh-CN"/>
        </w:rPr>
        <w:t>文学院</w:t>
      </w: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年硕士研究生复试工作实施细则》。</w:t>
      </w:r>
    </w:p>
    <w:p w14:paraId="500F09D1">
      <w:pPr>
        <w:spacing w:line="540" w:lineRule="exact"/>
        <w:ind w:firstLine="562"/>
        <w:rPr>
          <w:rFonts w:ascii="仿宋" w:hAnsi="仿宋" w:eastAsia="仿宋"/>
          <w:sz w:val="28"/>
          <w:szCs w:val="28"/>
        </w:rPr>
      </w:pPr>
      <w:r>
        <w:rPr>
          <w:rFonts w:hint="eastAsia" w:ascii="仿宋" w:hAnsi="仿宋" w:eastAsia="仿宋"/>
          <w:sz w:val="28"/>
          <w:szCs w:val="28"/>
        </w:rPr>
        <w:t>3.在调剂考生充足的情况下，调剂考生采取的复试方式为差额复试，差额复试比例一般为</w:t>
      </w:r>
      <w:r>
        <w:rPr>
          <w:rFonts w:hint="eastAsia" w:ascii="仿宋" w:hAnsi="仿宋" w:eastAsia="仿宋"/>
          <w:sz w:val="28"/>
          <w:szCs w:val="28"/>
          <w:lang w:val="en-US" w:eastAsia="zh-CN"/>
        </w:rPr>
        <w:t>120</w:t>
      </w:r>
      <w:r>
        <w:rPr>
          <w:rFonts w:hint="eastAsia" w:ascii="仿宋" w:hAnsi="仿宋" w:eastAsia="仿宋"/>
          <w:sz w:val="28"/>
          <w:szCs w:val="28"/>
        </w:rPr>
        <w:t>%。</w:t>
      </w:r>
    </w:p>
    <w:p w14:paraId="2F18B370">
      <w:pPr>
        <w:spacing w:line="540" w:lineRule="exact"/>
        <w:ind w:firstLine="562"/>
        <w:rPr>
          <w:rFonts w:ascii="黑体" w:hAnsi="黑体" w:eastAsia="黑体" w:cs="仿宋"/>
          <w:sz w:val="28"/>
        </w:rPr>
      </w:pPr>
      <w:r>
        <w:rPr>
          <w:rFonts w:hint="eastAsia" w:ascii="黑体" w:hAnsi="黑体" w:eastAsia="黑体" w:cs="仿宋"/>
          <w:sz w:val="28"/>
        </w:rPr>
        <w:t>五、调剂录取工作</w:t>
      </w:r>
    </w:p>
    <w:p w14:paraId="0F3648BA">
      <w:pPr>
        <w:spacing w:line="540" w:lineRule="exact"/>
        <w:ind w:firstLine="562"/>
        <w:rPr>
          <w:rFonts w:ascii="仿宋" w:hAnsi="仿宋" w:eastAsia="仿宋" w:cs="仿宋"/>
          <w:sz w:val="28"/>
        </w:rPr>
      </w:pPr>
      <w:r>
        <w:rPr>
          <w:rFonts w:hint="eastAsia" w:ascii="仿宋" w:hAnsi="仿宋" w:eastAsia="仿宋" w:cs="仿宋"/>
          <w:sz w:val="28"/>
        </w:rPr>
        <w:t>调剂考生的录取工作按照《</w:t>
      </w:r>
      <w:r>
        <w:rPr>
          <w:rFonts w:hint="eastAsia" w:ascii="仿宋" w:hAnsi="仿宋" w:eastAsia="仿宋"/>
          <w:sz w:val="28"/>
          <w:szCs w:val="28"/>
        </w:rPr>
        <w:t>辽宁大学</w:t>
      </w:r>
      <w:r>
        <w:rPr>
          <w:rFonts w:hint="eastAsia" w:ascii="仿宋" w:hAnsi="仿宋" w:eastAsia="仿宋"/>
          <w:sz w:val="28"/>
          <w:szCs w:val="28"/>
          <w:lang w:val="en-US" w:eastAsia="zh-CN"/>
        </w:rPr>
        <w:t>文学院</w:t>
      </w: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年硕士研究生复试工作实施细则</w:t>
      </w:r>
      <w:r>
        <w:rPr>
          <w:rFonts w:hint="eastAsia" w:ascii="仿宋" w:hAnsi="仿宋" w:eastAsia="仿宋" w:cs="仿宋"/>
          <w:sz w:val="28"/>
        </w:rPr>
        <w:t>》执行。</w:t>
      </w:r>
    </w:p>
    <w:p w14:paraId="76B01C84">
      <w:pPr>
        <w:spacing w:line="540" w:lineRule="exact"/>
        <w:ind w:firstLine="560" w:firstLineChars="200"/>
        <w:rPr>
          <w:rFonts w:ascii="仿宋" w:hAnsi="仿宋" w:eastAsia="仿宋"/>
          <w:sz w:val="28"/>
          <w:szCs w:val="28"/>
        </w:rPr>
      </w:pPr>
      <w:r>
        <w:rPr>
          <w:rFonts w:hint="eastAsia" w:ascii="仿宋" w:hAnsi="仿宋" w:eastAsia="仿宋"/>
          <w:sz w:val="28"/>
          <w:szCs w:val="28"/>
        </w:rPr>
        <w:t>学校研究生招生工作领导小组审核调剂拟录取考生名单后报省级教育招生考试机构审定。</w:t>
      </w:r>
    </w:p>
    <w:p w14:paraId="7157EB7D">
      <w:pPr>
        <w:spacing w:line="540" w:lineRule="exact"/>
        <w:ind w:firstLine="560" w:firstLineChars="200"/>
        <w:rPr>
          <w:rFonts w:ascii="仿宋" w:hAnsi="仿宋" w:eastAsia="仿宋"/>
          <w:sz w:val="28"/>
          <w:szCs w:val="28"/>
        </w:rPr>
      </w:pPr>
      <w:r>
        <w:rPr>
          <w:rFonts w:hint="eastAsia" w:ascii="仿宋" w:hAnsi="仿宋" w:eastAsia="仿宋"/>
          <w:sz w:val="28"/>
          <w:szCs w:val="28"/>
        </w:rPr>
        <w:t>调剂拟录取名单由研究生院进行公示，公示期为</w:t>
      </w:r>
      <w:r>
        <w:rPr>
          <w:rFonts w:ascii="仿宋" w:hAnsi="仿宋" w:eastAsia="仿宋"/>
          <w:sz w:val="28"/>
          <w:szCs w:val="28"/>
        </w:rPr>
        <w:t>10</w:t>
      </w:r>
      <w:r>
        <w:rPr>
          <w:rFonts w:hint="eastAsia" w:ascii="仿宋" w:hAnsi="仿宋" w:eastAsia="仿宋"/>
          <w:sz w:val="28"/>
          <w:szCs w:val="28"/>
        </w:rPr>
        <w:t>个工作日。</w:t>
      </w:r>
    </w:p>
    <w:p w14:paraId="7CEEFAAC">
      <w:pPr>
        <w:spacing w:line="540" w:lineRule="exact"/>
        <w:ind w:firstLine="562"/>
        <w:rPr>
          <w:rFonts w:ascii="黑体" w:hAnsi="黑体" w:eastAsia="黑体" w:cs="仿宋"/>
          <w:sz w:val="28"/>
        </w:rPr>
      </w:pPr>
      <w:r>
        <w:rPr>
          <w:rFonts w:hint="eastAsia" w:ascii="黑体" w:hAnsi="黑体" w:eastAsia="黑体" w:cs="仿宋"/>
          <w:sz w:val="28"/>
        </w:rPr>
        <w:t>六、调剂工作的监督</w:t>
      </w:r>
    </w:p>
    <w:p w14:paraId="18A327E1">
      <w:pPr>
        <w:spacing w:line="540" w:lineRule="exact"/>
        <w:ind w:firstLine="560"/>
        <w:rPr>
          <w:rFonts w:ascii="仿宋" w:hAnsi="仿宋" w:eastAsia="仿宋" w:cs="仿宋"/>
          <w:sz w:val="28"/>
        </w:rPr>
      </w:pPr>
      <w:r>
        <w:rPr>
          <w:rFonts w:hint="eastAsia" w:ascii="仿宋" w:hAnsi="仿宋" w:eastAsia="仿宋" w:cs="仿宋"/>
          <w:sz w:val="28"/>
          <w:lang w:val="en-US" w:eastAsia="zh-CN"/>
        </w:rPr>
        <w:t>文学院</w:t>
      </w:r>
      <w:r>
        <w:rPr>
          <w:rFonts w:hint="eastAsia" w:ascii="仿宋" w:hAnsi="仿宋" w:eastAsia="仿宋" w:cs="仿宋"/>
          <w:sz w:val="28"/>
        </w:rPr>
        <w:t>研究生招生工作领导小组对本单位调剂、复试过程和复试结果进行指导与审查，严肃处理违纪违规事件。</w:t>
      </w:r>
    </w:p>
    <w:p w14:paraId="499288C1">
      <w:pPr>
        <w:spacing w:line="540" w:lineRule="exact"/>
        <w:ind w:firstLine="560" w:firstLineChars="200"/>
        <w:rPr>
          <w:rFonts w:hint="eastAsia" w:ascii="仿宋" w:hAnsi="仿宋" w:eastAsia="仿宋" w:cs="仿宋"/>
          <w:sz w:val="28"/>
          <w:lang w:val="en-US" w:eastAsia="zh-CN"/>
        </w:rPr>
      </w:pPr>
      <w:r>
        <w:rPr>
          <w:rFonts w:hint="eastAsia" w:ascii="仿宋" w:hAnsi="仿宋" w:eastAsia="仿宋" w:cs="仿宋"/>
          <w:sz w:val="28"/>
        </w:rPr>
        <w:t>辽宁大学</w:t>
      </w:r>
      <w:r>
        <w:rPr>
          <w:rFonts w:hint="eastAsia" w:ascii="仿宋" w:hAnsi="仿宋" w:eastAsia="仿宋" w:cs="仿宋"/>
          <w:sz w:val="28"/>
          <w:lang w:val="en-US" w:eastAsia="zh-CN"/>
        </w:rPr>
        <w:t>文学院</w:t>
      </w:r>
      <w:r>
        <w:rPr>
          <w:rFonts w:hint="eastAsia" w:ascii="仿宋" w:hAnsi="仿宋" w:eastAsia="仿宋" w:cs="仿宋"/>
          <w:sz w:val="28"/>
        </w:rPr>
        <w:t>研究生办公室电话：</w:t>
      </w:r>
      <w:r>
        <w:rPr>
          <w:rFonts w:ascii="仿宋" w:hAnsi="仿宋" w:eastAsia="仿宋" w:cs="仿宋"/>
          <w:sz w:val="28"/>
        </w:rPr>
        <w:t>024-</w:t>
      </w:r>
      <w:r>
        <w:rPr>
          <w:rFonts w:hint="eastAsia" w:ascii="仿宋" w:hAnsi="仿宋" w:eastAsia="仿宋" w:cs="仿宋"/>
          <w:sz w:val="28"/>
          <w:lang w:val="en-US" w:eastAsia="zh-CN"/>
        </w:rPr>
        <w:t>62602169</w:t>
      </w:r>
    </w:p>
    <w:p w14:paraId="4B906588">
      <w:pPr>
        <w:spacing w:line="540" w:lineRule="exact"/>
        <w:ind w:firstLine="560" w:firstLineChars="200"/>
        <w:rPr>
          <w:rFonts w:ascii="仿宋" w:hAnsi="仿宋" w:eastAsia="仿宋"/>
          <w:sz w:val="28"/>
          <w:szCs w:val="28"/>
        </w:rPr>
      </w:pPr>
      <w:r>
        <w:rPr>
          <w:rFonts w:hint="eastAsia" w:ascii="仿宋" w:hAnsi="仿宋" w:eastAsia="仿宋"/>
          <w:sz w:val="28"/>
          <w:szCs w:val="28"/>
        </w:rPr>
        <w:t>本实施细则由</w:t>
      </w:r>
      <w:r>
        <w:rPr>
          <w:rFonts w:hint="eastAsia" w:ascii="仿宋" w:hAnsi="仿宋" w:eastAsia="仿宋"/>
          <w:sz w:val="28"/>
          <w:szCs w:val="28"/>
          <w:lang w:val="en-US" w:eastAsia="zh-CN"/>
        </w:rPr>
        <w:t>文学院</w:t>
      </w:r>
      <w:r>
        <w:rPr>
          <w:rFonts w:hint="eastAsia" w:ascii="仿宋" w:hAnsi="仿宋" w:eastAsia="仿宋"/>
          <w:sz w:val="28"/>
          <w:szCs w:val="28"/>
        </w:rPr>
        <w:t>负责解释，如同国家、辽宁省有关政策规定存在冲突，按国家、辽宁省关政策规定执行。</w:t>
      </w:r>
    </w:p>
    <w:p w14:paraId="2ED0CFCE">
      <w:pPr>
        <w:spacing w:line="540" w:lineRule="exact"/>
        <w:ind w:firstLine="560" w:firstLineChars="200"/>
        <w:rPr>
          <w:rFonts w:ascii="仿宋" w:hAnsi="仿宋" w:eastAsia="仿宋"/>
          <w:sz w:val="28"/>
          <w:szCs w:val="28"/>
        </w:rPr>
      </w:pPr>
    </w:p>
    <w:p w14:paraId="5D9CF2AA">
      <w:pPr>
        <w:spacing w:line="540" w:lineRule="exact"/>
        <w:ind w:firstLine="560" w:firstLineChars="200"/>
        <w:rPr>
          <w:rFonts w:ascii="仿宋" w:hAnsi="仿宋" w:eastAsia="仿宋"/>
          <w:sz w:val="28"/>
          <w:szCs w:val="28"/>
        </w:rPr>
      </w:pPr>
    </w:p>
    <w:p w14:paraId="30DE713F">
      <w:pPr>
        <w:spacing w:line="540" w:lineRule="exact"/>
        <w:ind w:firstLine="1680" w:firstLineChars="600"/>
        <w:jc w:val="right"/>
        <w:rPr>
          <w:rFonts w:ascii="仿宋" w:hAnsi="仿宋" w:eastAsia="仿宋" w:cs="仿宋"/>
          <w:sz w:val="28"/>
        </w:rPr>
      </w:pPr>
      <w:r>
        <w:rPr>
          <w:rFonts w:ascii="仿宋" w:hAnsi="仿宋" w:eastAsia="仿宋"/>
          <w:sz w:val="28"/>
          <w:szCs w:val="28"/>
        </w:rPr>
        <w:t xml:space="preserve">        </w:t>
      </w:r>
      <w:r>
        <w:rPr>
          <w:rFonts w:hint="eastAsia" w:ascii="仿宋" w:hAnsi="仿宋" w:eastAsia="仿宋" w:cs="仿宋"/>
          <w:sz w:val="28"/>
        </w:rPr>
        <w:t>辽宁大学</w:t>
      </w:r>
      <w:r>
        <w:rPr>
          <w:rFonts w:hint="eastAsia" w:ascii="仿宋" w:hAnsi="仿宋" w:eastAsia="仿宋" w:cs="仿宋"/>
          <w:sz w:val="28"/>
          <w:lang w:val="en-US" w:eastAsia="zh-CN"/>
        </w:rPr>
        <w:t>文学院</w:t>
      </w:r>
    </w:p>
    <w:p w14:paraId="7B8814F9">
      <w:pPr>
        <w:spacing w:line="540" w:lineRule="exact"/>
        <w:ind w:firstLine="1680" w:firstLineChars="600"/>
        <w:jc w:val="right"/>
        <w:rPr>
          <w:rFonts w:ascii="仿宋" w:hAnsi="仿宋" w:eastAsia="仿宋"/>
          <w:sz w:val="28"/>
          <w:szCs w:val="28"/>
        </w:rPr>
      </w:pPr>
      <w:r>
        <w:rPr>
          <w:rFonts w:ascii="仿宋" w:hAnsi="仿宋" w:eastAsia="仿宋" w:cs="仿宋"/>
          <w:sz w:val="28"/>
        </w:rPr>
        <w:t xml:space="preserve">         </w:t>
      </w:r>
      <w:r>
        <w:rPr>
          <w:rFonts w:hint="eastAsia" w:ascii="仿宋" w:hAnsi="仿宋" w:eastAsia="仿宋"/>
          <w:sz w:val="28"/>
          <w:szCs w:val="28"/>
        </w:rPr>
        <w:t>二○二</w:t>
      </w:r>
      <w:r>
        <w:rPr>
          <w:rFonts w:hint="eastAsia" w:ascii="仿宋" w:hAnsi="仿宋" w:eastAsia="仿宋"/>
          <w:sz w:val="28"/>
          <w:szCs w:val="28"/>
          <w:lang w:val="en-US" w:eastAsia="zh-CN"/>
        </w:rPr>
        <w:t>五</w:t>
      </w:r>
      <w:r>
        <w:rPr>
          <w:rFonts w:hint="eastAsia" w:ascii="仿宋" w:hAnsi="仿宋" w:eastAsia="仿宋"/>
          <w:sz w:val="28"/>
          <w:szCs w:val="28"/>
        </w:rPr>
        <w:t>年</w:t>
      </w:r>
      <w:r>
        <w:rPr>
          <w:rFonts w:hint="eastAsia" w:ascii="仿宋" w:hAnsi="仿宋" w:eastAsia="仿宋"/>
          <w:sz w:val="28"/>
          <w:szCs w:val="28"/>
          <w:highlight w:val="yellow"/>
          <w:lang w:val="en-US" w:eastAsia="zh-CN"/>
        </w:rPr>
        <w:t>四</w:t>
      </w:r>
      <w:r>
        <w:rPr>
          <w:rFonts w:hint="eastAsia" w:ascii="仿宋" w:hAnsi="仿宋" w:eastAsia="仿宋"/>
          <w:sz w:val="28"/>
          <w:szCs w:val="28"/>
        </w:rPr>
        <w:t>月</w:t>
      </w:r>
    </w:p>
    <w:p w14:paraId="4B21786A">
      <w:pPr>
        <w:spacing w:line="540" w:lineRule="exact"/>
        <w:jc w:val="left"/>
        <w:rPr>
          <w:rFonts w:ascii="仿宋" w:hAnsi="仿宋" w:eastAsia="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YzJlNWNmYzRiZWIyZTlhOTQ5NDgxOWIwYmEwNTUifQ=="/>
    <w:docVar w:name="KSO_WPS_MARK_KEY" w:val="f89ac487-8f3b-486a-846f-0a64a4a1778f"/>
  </w:docVars>
  <w:rsids>
    <w:rsidRoot w:val="005F2420"/>
    <w:rsid w:val="000421DE"/>
    <w:rsid w:val="00050C75"/>
    <w:rsid w:val="00060831"/>
    <w:rsid w:val="00066EAA"/>
    <w:rsid w:val="00091CB6"/>
    <w:rsid w:val="00092AB5"/>
    <w:rsid w:val="000A2D0F"/>
    <w:rsid w:val="000C47F1"/>
    <w:rsid w:val="000F5BB2"/>
    <w:rsid w:val="0013181F"/>
    <w:rsid w:val="001A0224"/>
    <w:rsid w:val="001A27EF"/>
    <w:rsid w:val="001A6D47"/>
    <w:rsid w:val="001B581B"/>
    <w:rsid w:val="001B68DC"/>
    <w:rsid w:val="001C1298"/>
    <w:rsid w:val="00215AF3"/>
    <w:rsid w:val="00215E80"/>
    <w:rsid w:val="00224181"/>
    <w:rsid w:val="002253AF"/>
    <w:rsid w:val="00226740"/>
    <w:rsid w:val="0024779D"/>
    <w:rsid w:val="0027787B"/>
    <w:rsid w:val="002B51BB"/>
    <w:rsid w:val="002E6772"/>
    <w:rsid w:val="002E7020"/>
    <w:rsid w:val="0032384D"/>
    <w:rsid w:val="00350988"/>
    <w:rsid w:val="003869BD"/>
    <w:rsid w:val="003A4BC0"/>
    <w:rsid w:val="003B37E4"/>
    <w:rsid w:val="003C70BD"/>
    <w:rsid w:val="0040465D"/>
    <w:rsid w:val="0040648D"/>
    <w:rsid w:val="00442A76"/>
    <w:rsid w:val="0046676D"/>
    <w:rsid w:val="00471F92"/>
    <w:rsid w:val="00496902"/>
    <w:rsid w:val="004A353F"/>
    <w:rsid w:val="004A7987"/>
    <w:rsid w:val="004B4381"/>
    <w:rsid w:val="004C561E"/>
    <w:rsid w:val="004E78C3"/>
    <w:rsid w:val="004F7012"/>
    <w:rsid w:val="00523815"/>
    <w:rsid w:val="005246DF"/>
    <w:rsid w:val="00546220"/>
    <w:rsid w:val="0056594D"/>
    <w:rsid w:val="00574BF2"/>
    <w:rsid w:val="005911EB"/>
    <w:rsid w:val="005B1733"/>
    <w:rsid w:val="005B6782"/>
    <w:rsid w:val="005C243A"/>
    <w:rsid w:val="005F2420"/>
    <w:rsid w:val="00615222"/>
    <w:rsid w:val="00617A52"/>
    <w:rsid w:val="00631286"/>
    <w:rsid w:val="006459E1"/>
    <w:rsid w:val="00654949"/>
    <w:rsid w:val="006617B1"/>
    <w:rsid w:val="00666755"/>
    <w:rsid w:val="006D203E"/>
    <w:rsid w:val="006D6A49"/>
    <w:rsid w:val="006E2C57"/>
    <w:rsid w:val="00712847"/>
    <w:rsid w:val="00754659"/>
    <w:rsid w:val="00777C89"/>
    <w:rsid w:val="007F1F03"/>
    <w:rsid w:val="00807F67"/>
    <w:rsid w:val="008445CB"/>
    <w:rsid w:val="00853852"/>
    <w:rsid w:val="00864011"/>
    <w:rsid w:val="0087562C"/>
    <w:rsid w:val="0088719C"/>
    <w:rsid w:val="008879B0"/>
    <w:rsid w:val="00893FD9"/>
    <w:rsid w:val="008A3DB8"/>
    <w:rsid w:val="008A468E"/>
    <w:rsid w:val="008B6FFC"/>
    <w:rsid w:val="008C4C82"/>
    <w:rsid w:val="008D42BA"/>
    <w:rsid w:val="008D4C7F"/>
    <w:rsid w:val="008E05F8"/>
    <w:rsid w:val="008E3D67"/>
    <w:rsid w:val="008E4E38"/>
    <w:rsid w:val="008F1004"/>
    <w:rsid w:val="00941DC2"/>
    <w:rsid w:val="00943826"/>
    <w:rsid w:val="00961733"/>
    <w:rsid w:val="00996D63"/>
    <w:rsid w:val="009A3849"/>
    <w:rsid w:val="009A6B06"/>
    <w:rsid w:val="009B2167"/>
    <w:rsid w:val="009D1875"/>
    <w:rsid w:val="009E6D4B"/>
    <w:rsid w:val="009F276E"/>
    <w:rsid w:val="00A207BF"/>
    <w:rsid w:val="00A2636C"/>
    <w:rsid w:val="00A32CF1"/>
    <w:rsid w:val="00A64059"/>
    <w:rsid w:val="00A70B19"/>
    <w:rsid w:val="00AC611F"/>
    <w:rsid w:val="00AF225B"/>
    <w:rsid w:val="00AF31C7"/>
    <w:rsid w:val="00B4089D"/>
    <w:rsid w:val="00B728E5"/>
    <w:rsid w:val="00B73467"/>
    <w:rsid w:val="00B83DDE"/>
    <w:rsid w:val="00B915A7"/>
    <w:rsid w:val="00BA54B0"/>
    <w:rsid w:val="00BB7E38"/>
    <w:rsid w:val="00BC0971"/>
    <w:rsid w:val="00BD726D"/>
    <w:rsid w:val="00BF0C4C"/>
    <w:rsid w:val="00C20873"/>
    <w:rsid w:val="00C424C3"/>
    <w:rsid w:val="00C53CEA"/>
    <w:rsid w:val="00CA5A77"/>
    <w:rsid w:val="00CB22C6"/>
    <w:rsid w:val="00CC4649"/>
    <w:rsid w:val="00CE20BC"/>
    <w:rsid w:val="00CF0F46"/>
    <w:rsid w:val="00CF50BE"/>
    <w:rsid w:val="00D31AAE"/>
    <w:rsid w:val="00D80640"/>
    <w:rsid w:val="00DA2683"/>
    <w:rsid w:val="00DE7ECF"/>
    <w:rsid w:val="00DF3DB1"/>
    <w:rsid w:val="00E20E7F"/>
    <w:rsid w:val="00E23B9F"/>
    <w:rsid w:val="00E37DC7"/>
    <w:rsid w:val="00E843EA"/>
    <w:rsid w:val="00EE278E"/>
    <w:rsid w:val="00F17FCE"/>
    <w:rsid w:val="00F8706C"/>
    <w:rsid w:val="00FE2384"/>
    <w:rsid w:val="17A11EA0"/>
    <w:rsid w:val="19B63BD2"/>
    <w:rsid w:val="1F8C242E"/>
    <w:rsid w:val="2DE869D2"/>
    <w:rsid w:val="31AA22FE"/>
    <w:rsid w:val="35E03A77"/>
    <w:rsid w:val="3C55406B"/>
    <w:rsid w:val="3E5132A6"/>
    <w:rsid w:val="4675293C"/>
    <w:rsid w:val="567676F4"/>
    <w:rsid w:val="5E6934F3"/>
    <w:rsid w:val="624A51EB"/>
    <w:rsid w:val="626465EC"/>
    <w:rsid w:val="6F0C6CEC"/>
    <w:rsid w:val="6F8142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qFormat/>
    <w:uiPriority w:val="99"/>
    <w:pPr>
      <w:jc w:val="left"/>
    </w:pPr>
    <w:rPr>
      <w:kern w:val="0"/>
      <w:sz w:val="20"/>
      <w:szCs w:val="20"/>
    </w:rPr>
  </w:style>
  <w:style w:type="paragraph" w:styleId="3">
    <w:name w:val="Date"/>
    <w:basedOn w:val="1"/>
    <w:next w:val="1"/>
    <w:link w:val="12"/>
    <w:semiHidden/>
    <w:qFormat/>
    <w:uiPriority w:val="99"/>
    <w:pPr>
      <w:ind w:left="100" w:leftChars="2500"/>
    </w:pPr>
    <w:rPr>
      <w:kern w:val="0"/>
      <w:sz w:val="20"/>
      <w:szCs w:val="20"/>
    </w:rPr>
  </w:style>
  <w:style w:type="paragraph" w:styleId="4">
    <w:name w:val="Balloon Text"/>
    <w:basedOn w:val="1"/>
    <w:link w:val="13"/>
    <w:semiHidden/>
    <w:qFormat/>
    <w:uiPriority w:val="99"/>
    <w:rPr>
      <w:kern w:val="0"/>
      <w:sz w:val="18"/>
      <w:szCs w:val="18"/>
    </w:rPr>
  </w:style>
  <w:style w:type="paragraph" w:styleId="5">
    <w:name w:val="footer"/>
    <w:basedOn w:val="1"/>
    <w:link w:val="14"/>
    <w:qFormat/>
    <w:uiPriority w:val="99"/>
    <w:pPr>
      <w:tabs>
        <w:tab w:val="center" w:pos="4153"/>
        <w:tab w:val="right" w:pos="8306"/>
      </w:tabs>
      <w:snapToGrid w:val="0"/>
      <w:jc w:val="left"/>
    </w:pPr>
    <w:rPr>
      <w:kern w:val="0"/>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6"/>
    <w:semiHidden/>
    <w:qFormat/>
    <w:uiPriority w:val="99"/>
    <w:rPr>
      <w:b/>
      <w:bCs/>
    </w:rPr>
  </w:style>
  <w:style w:type="character" w:styleId="10">
    <w:name w:val="annotation reference"/>
    <w:semiHidden/>
    <w:qFormat/>
    <w:uiPriority w:val="99"/>
    <w:rPr>
      <w:rFonts w:cs="Times New Roman"/>
      <w:sz w:val="21"/>
    </w:rPr>
  </w:style>
  <w:style w:type="character" w:customStyle="1" w:styleId="11">
    <w:name w:val="批注文字 Char"/>
    <w:link w:val="2"/>
    <w:semiHidden/>
    <w:qFormat/>
    <w:locked/>
    <w:uiPriority w:val="99"/>
    <w:rPr>
      <w:rFonts w:cs="Times New Roman"/>
    </w:rPr>
  </w:style>
  <w:style w:type="character" w:customStyle="1" w:styleId="12">
    <w:name w:val="日期 Char"/>
    <w:link w:val="3"/>
    <w:semiHidden/>
    <w:qFormat/>
    <w:locked/>
    <w:uiPriority w:val="99"/>
    <w:rPr>
      <w:rFonts w:cs="Times New Roman"/>
    </w:rPr>
  </w:style>
  <w:style w:type="character" w:customStyle="1" w:styleId="13">
    <w:name w:val="批注框文本 Char"/>
    <w:link w:val="4"/>
    <w:semiHidden/>
    <w:qFormat/>
    <w:locked/>
    <w:uiPriority w:val="99"/>
    <w:rPr>
      <w:rFonts w:cs="Times New Roman"/>
      <w:sz w:val="18"/>
    </w:rPr>
  </w:style>
  <w:style w:type="character" w:customStyle="1" w:styleId="14">
    <w:name w:val="页脚 Char"/>
    <w:link w:val="5"/>
    <w:qFormat/>
    <w:locked/>
    <w:uiPriority w:val="99"/>
    <w:rPr>
      <w:rFonts w:cs="Times New Roman"/>
      <w:sz w:val="18"/>
    </w:rPr>
  </w:style>
  <w:style w:type="character" w:customStyle="1" w:styleId="15">
    <w:name w:val="页眉 Char"/>
    <w:link w:val="6"/>
    <w:qFormat/>
    <w:locked/>
    <w:uiPriority w:val="99"/>
    <w:rPr>
      <w:rFonts w:cs="Times New Roman"/>
      <w:sz w:val="18"/>
    </w:rPr>
  </w:style>
  <w:style w:type="character" w:customStyle="1" w:styleId="16">
    <w:name w:val="批注主题 Char"/>
    <w:link w:val="7"/>
    <w:semiHidden/>
    <w:qFormat/>
    <w:locked/>
    <w:uiPriority w:val="99"/>
    <w:rPr>
      <w:rFonts w:cs="Times New Roman"/>
      <w:b/>
    </w:rPr>
  </w:style>
  <w:style w:type="paragraph" w:styleId="17">
    <w:name w:val="List Paragraph"/>
    <w:basedOn w:val="1"/>
    <w:semiHidden/>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507CE-5D3C-42D5-8C8C-8462689E53BC}">
  <ds:schemaRefs/>
</ds:datastoreItem>
</file>

<file path=docProps/app.xml><?xml version="1.0" encoding="utf-8"?>
<Properties xmlns="http://schemas.openxmlformats.org/officeDocument/2006/extended-properties" xmlns:vt="http://schemas.openxmlformats.org/officeDocument/2006/docPropsVTypes">
  <Template>Normal.dotm</Template>
  <Company>用户</Company>
  <Pages>3</Pages>
  <Words>1410</Words>
  <Characters>1486</Characters>
  <Lines>12</Lines>
  <Paragraphs>3</Paragraphs>
  <TotalTime>142</TotalTime>
  <ScaleCrop>false</ScaleCrop>
  <LinksUpToDate>false</LinksUpToDate>
  <CharactersWithSpaces>1505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2018-03-21T01:50:00Z</dcterms:created>
  <dc:creator>Windows 用户</dc:creator>
  <cp:lastModifiedBy>冯小卡</cp:lastModifiedBy>
  <cp:lastPrinted>2018-03-21T01:54:00Z</cp:lastPrinted>
  <dcterms:modified xsi:type="dcterms:W3CDTF">2025-04-01T01:58:15Z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2D7647BE90DC4B0DB44A3B798310035F_13</vt:lpwstr>
  </property>
  <property fmtid="{D5CDD505-2E9C-101B-9397-08002B2CF9AE}" pid="4" name="KSOTemplateDocerSaveRecord">
    <vt:lpwstr>eyJoZGlkIjoiNzZhMzQ5ZmExYzMxYTI5ZTJlYTcxMTExYTgzZDhjMTUiLCJ1c2VySWQiOiIyMDY1NjQ1MTUifQ==</vt:lpwstr>
  </property>
</Properties>
</file>